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C808" w14:textId="6115590A" w:rsidR="00F6574A" w:rsidRPr="00EB2413" w:rsidRDefault="00F6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B05B12C" w14:textId="0B8C98FA" w:rsidR="002D5C35" w:rsidRPr="00EB2413" w:rsidRDefault="002D5C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BD56931" w14:textId="77777777" w:rsidR="00D02F6D" w:rsidRPr="00EB2413" w:rsidRDefault="00D02F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485861B" w14:textId="57A112A1" w:rsidR="00601767" w:rsidRPr="00EB2413" w:rsidRDefault="006949C3" w:rsidP="00406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B2413">
        <w:rPr>
          <w:rFonts w:ascii="Arial" w:hAnsi="Arial"/>
          <w:b/>
          <w:sz w:val="24"/>
        </w:rPr>
        <w:t>COMUNICADO CONJUNTO DOS PRESIDENTES DOS ESTADOS PARTES DO MERCOSUL E ESTADOS ASSOCIADOS</w:t>
      </w:r>
    </w:p>
    <w:p w14:paraId="59549602" w14:textId="77777777" w:rsidR="0040637B" w:rsidRPr="00EB2413" w:rsidRDefault="0040637B" w:rsidP="00406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E9E1098" w14:textId="6C3F50C8" w:rsidR="00FB39C9" w:rsidRPr="00EB2413" w:rsidRDefault="006949C3" w:rsidP="004063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B2413">
        <w:rPr>
          <w:rFonts w:ascii="Arial" w:hAnsi="Arial"/>
          <w:sz w:val="24"/>
        </w:rPr>
        <w:t xml:space="preserve">Os Presidentes da República Argentina, Javier </w:t>
      </w:r>
      <w:proofErr w:type="spellStart"/>
      <w:r w:rsidRPr="00EB2413">
        <w:rPr>
          <w:rFonts w:ascii="Arial" w:hAnsi="Arial"/>
          <w:sz w:val="24"/>
        </w:rPr>
        <w:t>Milei</w:t>
      </w:r>
      <w:proofErr w:type="spellEnd"/>
      <w:r w:rsidRPr="00EB2413">
        <w:rPr>
          <w:rFonts w:ascii="Arial" w:hAnsi="Arial"/>
          <w:sz w:val="24"/>
        </w:rPr>
        <w:t xml:space="preserve">; do Estado Plurinacional da Bolívia, </w:t>
      </w:r>
      <w:proofErr w:type="spellStart"/>
      <w:r w:rsidRPr="00EB2413">
        <w:rPr>
          <w:rFonts w:ascii="Arial" w:hAnsi="Arial"/>
          <w:sz w:val="24"/>
        </w:rPr>
        <w:t>Luis</w:t>
      </w:r>
      <w:proofErr w:type="spellEnd"/>
      <w:r w:rsidRPr="00EB2413">
        <w:rPr>
          <w:rFonts w:ascii="Arial" w:hAnsi="Arial"/>
          <w:sz w:val="24"/>
        </w:rPr>
        <w:t xml:space="preserve"> Alberto Arce </w:t>
      </w:r>
      <w:proofErr w:type="spellStart"/>
      <w:r w:rsidRPr="00EB2413">
        <w:rPr>
          <w:rFonts w:ascii="Arial" w:hAnsi="Arial"/>
          <w:sz w:val="24"/>
        </w:rPr>
        <w:t>Catacora</w:t>
      </w:r>
      <w:proofErr w:type="spellEnd"/>
      <w:r w:rsidRPr="00EB2413">
        <w:rPr>
          <w:rFonts w:ascii="Arial" w:hAnsi="Arial"/>
          <w:sz w:val="24"/>
        </w:rPr>
        <w:t xml:space="preserve">; da República Federativa do Brasil, Luiz Inácio Lula da Silva; da República do Paraguai, Santiago </w:t>
      </w:r>
      <w:proofErr w:type="spellStart"/>
      <w:r w:rsidRPr="00EB2413">
        <w:rPr>
          <w:rFonts w:ascii="Arial" w:hAnsi="Arial"/>
          <w:sz w:val="24"/>
        </w:rPr>
        <w:t>Peña</w:t>
      </w:r>
      <w:proofErr w:type="spellEnd"/>
      <w:r w:rsidRPr="00EB2413">
        <w:rPr>
          <w:rFonts w:ascii="Arial" w:hAnsi="Arial"/>
          <w:sz w:val="24"/>
        </w:rPr>
        <w:t xml:space="preserve">; da República Oriental do Uruguai, Yamandú Orsi; Estados Partes do MERCOSUL; e o Presidente da República do Panamá, José Raul </w:t>
      </w:r>
      <w:proofErr w:type="spellStart"/>
      <w:r w:rsidRPr="00EB2413">
        <w:rPr>
          <w:rFonts w:ascii="Arial" w:hAnsi="Arial"/>
          <w:sz w:val="24"/>
        </w:rPr>
        <w:t>Mulino</w:t>
      </w:r>
      <w:proofErr w:type="spellEnd"/>
      <w:r w:rsidRPr="00EB2413">
        <w:rPr>
          <w:rFonts w:ascii="Arial" w:hAnsi="Arial"/>
          <w:sz w:val="24"/>
        </w:rPr>
        <w:t xml:space="preserve">; </w:t>
      </w:r>
      <w:r w:rsidR="00425C51" w:rsidRPr="00EB2413">
        <w:rPr>
          <w:rFonts w:ascii="Arial" w:hAnsi="Arial"/>
          <w:sz w:val="24"/>
        </w:rPr>
        <w:t xml:space="preserve">a </w:t>
      </w:r>
      <w:r w:rsidRPr="00EB2413">
        <w:rPr>
          <w:rFonts w:ascii="Arial" w:hAnsi="Arial"/>
          <w:sz w:val="24"/>
        </w:rPr>
        <w:t>Vice</w:t>
      </w:r>
      <w:r w:rsidR="00425C51" w:rsidRPr="00EB2413">
        <w:rPr>
          <w:rFonts w:ascii="Arial" w:hAnsi="Arial"/>
          <w:sz w:val="24"/>
        </w:rPr>
        <w:t>-</w:t>
      </w:r>
      <w:r w:rsidRPr="00EB2413">
        <w:rPr>
          <w:rFonts w:ascii="Arial" w:hAnsi="Arial"/>
          <w:sz w:val="24"/>
        </w:rPr>
        <w:t>presidente d</w:t>
      </w:r>
      <w:r w:rsidR="00425C51" w:rsidRPr="00EB2413">
        <w:rPr>
          <w:rFonts w:ascii="Arial" w:hAnsi="Arial"/>
          <w:sz w:val="24"/>
        </w:rPr>
        <w:t>o</w:t>
      </w:r>
      <w:r w:rsidRPr="00EB2413">
        <w:rPr>
          <w:rFonts w:ascii="Arial" w:hAnsi="Arial"/>
          <w:sz w:val="24"/>
        </w:rPr>
        <w:t xml:space="preserve"> Equador, </w:t>
      </w:r>
      <w:proofErr w:type="spellStart"/>
      <w:r w:rsidRPr="00EB2413">
        <w:rPr>
          <w:rFonts w:ascii="Arial" w:hAnsi="Arial"/>
          <w:sz w:val="24"/>
        </w:rPr>
        <w:t>María</w:t>
      </w:r>
      <w:proofErr w:type="spellEnd"/>
      <w:r w:rsidRPr="00EB2413">
        <w:rPr>
          <w:rFonts w:ascii="Arial" w:hAnsi="Arial"/>
          <w:sz w:val="24"/>
        </w:rPr>
        <w:t xml:space="preserve"> José Pinto; e as Altas Autoridades da República da Colômbia, da República do Chile e da República do Peru, Estados Associados, reunidos em Buenos Aires, República Argentina, por ocasião da LXVI Cúpula de Presidentes do MERCOSUL, no dia 3 de julho de 2025: </w:t>
      </w:r>
    </w:p>
    <w:p w14:paraId="0DD2B3E1" w14:textId="77777777" w:rsidR="00B25851" w:rsidRPr="00EB2413" w:rsidRDefault="00B25851" w:rsidP="00B2585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A008DB3" w14:textId="466F5D34" w:rsidR="00E55C14" w:rsidRPr="00EB2413" w:rsidRDefault="00817619" w:rsidP="004063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B2413">
        <w:rPr>
          <w:rFonts w:ascii="Arial" w:hAnsi="Arial"/>
          <w:b/>
          <w:sz w:val="24"/>
        </w:rPr>
        <w:t>REAFIRMARAM</w:t>
      </w:r>
      <w:r w:rsidRPr="00EB2413">
        <w:rPr>
          <w:rFonts w:ascii="Arial" w:hAnsi="Arial"/>
          <w:sz w:val="24"/>
        </w:rPr>
        <w:t xml:space="preserve"> a vigência do Protocolo de Ushuaia sobre Compromisso Democrático no MERCOSUL</w:t>
      </w:r>
      <w:r w:rsidR="00CF26B3" w:rsidRPr="00EB2413">
        <w:rPr>
          <w:rFonts w:ascii="Arial" w:hAnsi="Arial"/>
          <w:sz w:val="24"/>
        </w:rPr>
        <w:t xml:space="preserve">, </w:t>
      </w:r>
      <w:r w:rsidRPr="00EB2413">
        <w:rPr>
          <w:rFonts w:ascii="Arial" w:hAnsi="Arial"/>
          <w:sz w:val="24"/>
        </w:rPr>
        <w:t xml:space="preserve">e </w:t>
      </w:r>
      <w:r w:rsidRPr="00EB2413">
        <w:rPr>
          <w:rFonts w:ascii="Arial" w:hAnsi="Arial"/>
          <w:b/>
          <w:sz w:val="24"/>
        </w:rPr>
        <w:t>RATIFICARAM</w:t>
      </w:r>
      <w:r w:rsidRPr="00EB2413">
        <w:rPr>
          <w:rFonts w:ascii="Arial" w:hAnsi="Arial"/>
          <w:sz w:val="24"/>
        </w:rPr>
        <w:t xml:space="preserve"> seu compromisso com a defesa das instituições democráticas, a plena vigência do Estado de Direito, os esforços intergovernamentais para fortalecer o multilateralismo, a articulação dos mecanismos de defesa da democracia, os princípios fundamentais do direito internacional, a proteção e a promoção irrestritas dos direitos humanos e das liberdades fundamentais, bem como a promoção da igualdade em todas as suas dimensões, todos elementos essenciais para o processo de integração regional, para o desenvolvimento e a prosperidade, especialmente das pessoas em situação de vulnerabilidade. </w:t>
      </w:r>
    </w:p>
    <w:p w14:paraId="042950BF" w14:textId="77777777" w:rsidR="00CA37DA" w:rsidRPr="00EB2413" w:rsidRDefault="00CA37DA" w:rsidP="0040637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019BBF9" w14:textId="0624F74A" w:rsidR="00E01F9A" w:rsidRPr="00EB2413" w:rsidRDefault="00FA32C5" w:rsidP="004063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B2413">
        <w:rPr>
          <w:rFonts w:ascii="Arial" w:hAnsi="Arial"/>
          <w:b/>
          <w:sz w:val="24"/>
        </w:rPr>
        <w:t>REAFIRMARAM</w:t>
      </w:r>
      <w:r w:rsidRPr="00EB2413">
        <w:rPr>
          <w:rFonts w:ascii="Arial" w:hAnsi="Arial"/>
          <w:sz w:val="24"/>
        </w:rPr>
        <w:t xml:space="preserve"> a importância de garantir a região como zona de paz e livre de armas de destruição </w:t>
      </w:r>
      <w:r w:rsidR="00E44EB2" w:rsidRPr="00EB2413">
        <w:rPr>
          <w:rFonts w:ascii="Arial" w:hAnsi="Arial"/>
          <w:sz w:val="24"/>
        </w:rPr>
        <w:t>em massa</w:t>
      </w:r>
      <w:r w:rsidRPr="00EB2413">
        <w:rPr>
          <w:rFonts w:ascii="Arial" w:hAnsi="Arial"/>
          <w:sz w:val="24"/>
        </w:rPr>
        <w:t>, o que constitui elemento essencial para a continuidade e o desenvolvimento do processo de integração do MERCOSUL, com base no Direito Internacional</w:t>
      </w:r>
      <w:r w:rsidR="00E44EB2" w:rsidRPr="00EB2413">
        <w:rPr>
          <w:rFonts w:ascii="Arial" w:hAnsi="Arial"/>
          <w:sz w:val="24"/>
        </w:rPr>
        <w:t xml:space="preserve"> e </w:t>
      </w:r>
      <w:r w:rsidRPr="00EB2413">
        <w:rPr>
          <w:rFonts w:ascii="Arial" w:hAnsi="Arial"/>
          <w:sz w:val="24"/>
        </w:rPr>
        <w:t xml:space="preserve">no respeito aos propósitos e princípios da Carta das Nações Unidas. </w:t>
      </w:r>
    </w:p>
    <w:p w14:paraId="5A933EF5" w14:textId="77777777" w:rsidR="00E01F9A" w:rsidRPr="00EB2413" w:rsidRDefault="00E01F9A" w:rsidP="004063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21D79D" w14:textId="2F7A1FFB" w:rsidR="00601767" w:rsidRPr="00EB2413" w:rsidRDefault="00A02623" w:rsidP="004063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B2413">
        <w:rPr>
          <w:rFonts w:ascii="Arial" w:hAnsi="Arial"/>
          <w:b/>
          <w:sz w:val="24"/>
        </w:rPr>
        <w:t xml:space="preserve">RATIFICARAM </w:t>
      </w:r>
      <w:r w:rsidRPr="00EB2413">
        <w:rPr>
          <w:rFonts w:ascii="Arial" w:hAnsi="Arial"/>
          <w:sz w:val="24"/>
        </w:rPr>
        <w:t>seu compromisso com a unidade, o fortalecimento e a modernização do MERCOSUL, bem como sua determinação para articular ações, aprofundar o diálogo, a concertação política e a cooperação com outros esquemas de integração regional, a fim de evitar a duplicação de esforços, garantir o uso racional e eficiente dos recursos e avançar em uma agenda comum em temas</w:t>
      </w:r>
      <w:r w:rsidR="00B20AD7" w:rsidRPr="00EB2413">
        <w:rPr>
          <w:rFonts w:ascii="Arial" w:hAnsi="Arial"/>
          <w:sz w:val="24"/>
        </w:rPr>
        <w:t xml:space="preserve"> relevantes.</w:t>
      </w:r>
    </w:p>
    <w:p w14:paraId="7B1F5ABC" w14:textId="77777777" w:rsidR="0040637B" w:rsidRPr="00EB2413" w:rsidRDefault="0040637B" w:rsidP="004063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9EE3971" w14:textId="540AF7A0" w:rsidR="0027679A" w:rsidRPr="00EB2413" w:rsidRDefault="0074085C" w:rsidP="004063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0" w:name="_gjdgxs"/>
      <w:bookmarkEnd w:id="0"/>
      <w:r w:rsidRPr="00EB2413">
        <w:rPr>
          <w:rFonts w:ascii="Arial" w:hAnsi="Arial"/>
          <w:b/>
          <w:sz w:val="24"/>
        </w:rPr>
        <w:t>DESTACARAM</w:t>
      </w:r>
      <w:r w:rsidRPr="00EB2413">
        <w:rPr>
          <w:rFonts w:ascii="Arial" w:hAnsi="Arial"/>
          <w:sz w:val="24"/>
          <w:highlight w:val="white"/>
        </w:rPr>
        <w:t xml:space="preserve"> os principais avanços e entendimentos </w:t>
      </w:r>
      <w:r w:rsidR="0001462F" w:rsidRPr="00EB2413">
        <w:rPr>
          <w:rFonts w:ascii="Arial" w:hAnsi="Arial"/>
          <w:sz w:val="24"/>
          <w:highlight w:val="white"/>
        </w:rPr>
        <w:t xml:space="preserve">alcançados </w:t>
      </w:r>
      <w:r w:rsidRPr="00EB2413">
        <w:rPr>
          <w:rFonts w:ascii="Arial" w:hAnsi="Arial"/>
          <w:sz w:val="24"/>
          <w:highlight w:val="white"/>
        </w:rPr>
        <w:t xml:space="preserve">entre os Estados Partes do MERCOSUL e os Estados Associados: </w:t>
      </w:r>
    </w:p>
    <w:p w14:paraId="280F0617" w14:textId="77777777" w:rsidR="0040637B" w:rsidRPr="00EB2413" w:rsidRDefault="0040637B" w:rsidP="004063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1B219546" w14:textId="09AC3A71" w:rsidR="00FE29C0" w:rsidRPr="00EB2413" w:rsidRDefault="00FE29C0" w:rsidP="0040637B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EB2413">
        <w:rPr>
          <w:rFonts w:ascii="Arial" w:hAnsi="Arial"/>
          <w:sz w:val="24"/>
        </w:rPr>
        <w:t xml:space="preserve">Acompanhamento do processo de integração econômica comercial, com uma agenda de políticas sociais, de direitos humanos e de segurança nos foros da estrutura institucional, preservando o protagonismo dos Estados Partes do MERCOSUL e Estados Associados na formulação das referidas políticas. </w:t>
      </w:r>
    </w:p>
    <w:p w14:paraId="2F4AAD09" w14:textId="77777777" w:rsidR="0040637B" w:rsidRPr="00EB2413" w:rsidRDefault="0040637B" w:rsidP="0040637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28B61A3A" w14:textId="32E2A599" w:rsidR="0040637B" w:rsidRPr="00EB2413" w:rsidRDefault="002E76CA" w:rsidP="004041CF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EB2413">
        <w:rPr>
          <w:rFonts w:ascii="Arial" w:hAnsi="Arial"/>
          <w:sz w:val="24"/>
          <w:highlight w:val="white"/>
        </w:rPr>
        <w:t xml:space="preserve">Fortalecimento dos mecanismos de cooperação existentes para o combate às organizações criminosas transnacionais, com vistas a prevenir, investigar e reprimir </w:t>
      </w:r>
      <w:r w:rsidR="00FC6F4A" w:rsidRPr="00EB2413">
        <w:rPr>
          <w:rFonts w:ascii="Arial" w:hAnsi="Arial"/>
          <w:sz w:val="24"/>
          <w:highlight w:val="white"/>
        </w:rPr>
        <w:t>crimes</w:t>
      </w:r>
      <w:r w:rsidRPr="00EB2413">
        <w:rPr>
          <w:rFonts w:ascii="Arial" w:hAnsi="Arial"/>
          <w:sz w:val="24"/>
          <w:highlight w:val="white"/>
        </w:rPr>
        <w:t xml:space="preserve"> transnacionais como o narcotráfico, o tráfico ilícito de armas de fogo, munições e explosivos, o tráfico de pessoas, o tráfico ilícito de migrantes, a mineração ilegal e outros crimes que afetam o meio ambiente; bem como para reforçar a luta contra o flagelo do terrorismo.</w:t>
      </w:r>
    </w:p>
    <w:p w14:paraId="1812EA60" w14:textId="77777777" w:rsidR="0040637B" w:rsidRPr="00EB2413" w:rsidRDefault="0040637B" w:rsidP="00406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Arial" w:hAnsi="Arial" w:cs="Arial"/>
          <w:sz w:val="16"/>
          <w:szCs w:val="16"/>
          <w:highlight w:val="white"/>
        </w:rPr>
      </w:pPr>
    </w:p>
    <w:p w14:paraId="2B90BC2A" w14:textId="2997F189" w:rsidR="0040637B" w:rsidRPr="00EB2413" w:rsidRDefault="0040637B" w:rsidP="00790F4F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EB2413">
        <w:rPr>
          <w:rFonts w:ascii="Arial" w:hAnsi="Arial"/>
          <w:sz w:val="24"/>
        </w:rPr>
        <w:t xml:space="preserve">Declaração sobre Boas Práticas e Uso da Tecnologia na Cooperação Jurídica Internacional em matéria penal, especialmente na luta contra o </w:t>
      </w:r>
      <w:r w:rsidR="00B20AD7" w:rsidRPr="00EB2413">
        <w:rPr>
          <w:rFonts w:ascii="Arial" w:hAnsi="Arial"/>
          <w:sz w:val="24"/>
        </w:rPr>
        <w:t>C</w:t>
      </w:r>
      <w:r w:rsidRPr="00EB2413">
        <w:rPr>
          <w:rFonts w:ascii="Arial" w:hAnsi="Arial"/>
          <w:sz w:val="24"/>
        </w:rPr>
        <w:t xml:space="preserve">rime </w:t>
      </w:r>
      <w:r w:rsidR="00B20AD7" w:rsidRPr="00EB2413">
        <w:rPr>
          <w:rFonts w:ascii="Arial" w:hAnsi="Arial"/>
          <w:sz w:val="24"/>
        </w:rPr>
        <w:t>O</w:t>
      </w:r>
      <w:r w:rsidRPr="00EB2413">
        <w:rPr>
          <w:rFonts w:ascii="Arial" w:hAnsi="Arial"/>
          <w:sz w:val="24"/>
        </w:rPr>
        <w:t xml:space="preserve">rganizado </w:t>
      </w:r>
      <w:r w:rsidR="00B20AD7" w:rsidRPr="00EB2413">
        <w:rPr>
          <w:rFonts w:ascii="Arial" w:hAnsi="Arial"/>
          <w:sz w:val="24"/>
        </w:rPr>
        <w:t>T</w:t>
      </w:r>
      <w:r w:rsidRPr="00EB2413">
        <w:rPr>
          <w:rFonts w:ascii="Arial" w:hAnsi="Arial"/>
          <w:sz w:val="24"/>
        </w:rPr>
        <w:t>ransnacional, aprovada pelos Estados Partes do MERCOSUL e Chile.</w:t>
      </w:r>
    </w:p>
    <w:p w14:paraId="4AAF4808" w14:textId="77777777" w:rsidR="00790F4F" w:rsidRPr="00EB2413" w:rsidRDefault="00790F4F" w:rsidP="00790F4F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12B82BA" w14:textId="56D01974" w:rsidR="00D02F6D" w:rsidRPr="00EB2413" w:rsidRDefault="00AD028D" w:rsidP="00F42043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Arial" w:eastAsia="Arial" w:hAnsi="Arial" w:cs="Arial"/>
          <w:sz w:val="16"/>
          <w:szCs w:val="16"/>
          <w:highlight w:val="white"/>
        </w:rPr>
      </w:pPr>
      <w:r w:rsidRPr="00EB2413">
        <w:rPr>
          <w:rFonts w:ascii="Arial" w:hAnsi="Arial"/>
          <w:sz w:val="24"/>
        </w:rPr>
        <w:lastRenderedPageBreak/>
        <w:t xml:space="preserve">Protocolo para </w:t>
      </w:r>
      <w:r w:rsidR="00171152" w:rsidRPr="00EB2413">
        <w:rPr>
          <w:rFonts w:ascii="Arial" w:hAnsi="Arial"/>
          <w:sz w:val="24"/>
        </w:rPr>
        <w:t>Operacionalização do</w:t>
      </w:r>
      <w:r w:rsidRPr="00EB2413">
        <w:rPr>
          <w:rFonts w:ascii="Arial" w:hAnsi="Arial"/>
          <w:sz w:val="24"/>
        </w:rPr>
        <w:t xml:space="preserve"> Grupo de Trabalho Especializado para </w:t>
      </w:r>
      <w:r w:rsidR="005E4C16" w:rsidRPr="00EB2413">
        <w:rPr>
          <w:rFonts w:ascii="Arial" w:hAnsi="Arial"/>
          <w:sz w:val="24"/>
        </w:rPr>
        <w:t xml:space="preserve">o Combate </w:t>
      </w:r>
      <w:r w:rsidR="00E44EB2" w:rsidRPr="00EB2413">
        <w:rPr>
          <w:rFonts w:ascii="Arial" w:hAnsi="Arial"/>
          <w:sz w:val="24"/>
        </w:rPr>
        <w:t xml:space="preserve">a </w:t>
      </w:r>
      <w:r w:rsidRPr="00EB2413">
        <w:rPr>
          <w:rFonts w:ascii="Arial" w:hAnsi="Arial"/>
          <w:sz w:val="24"/>
        </w:rPr>
        <w:t xml:space="preserve">Organizações Criminosas, por meio da implementação de equipes de investigação policial conjunta e </w:t>
      </w:r>
      <w:r w:rsidR="00E44EB2" w:rsidRPr="00EB2413">
        <w:rPr>
          <w:rFonts w:ascii="Arial" w:hAnsi="Arial"/>
          <w:sz w:val="24"/>
        </w:rPr>
        <w:t>d</w:t>
      </w:r>
      <w:r w:rsidRPr="00EB2413">
        <w:rPr>
          <w:rFonts w:ascii="Arial" w:hAnsi="Arial"/>
          <w:sz w:val="24"/>
        </w:rPr>
        <w:t xml:space="preserve">a avaliação da possibilidade de institucionalização dessas práticas mediante a criação de uma Agência MERCOSUL contra o Crime Organizado Transnacional, </w:t>
      </w:r>
      <w:r w:rsidR="000C68D4" w:rsidRPr="00EB2413">
        <w:rPr>
          <w:rFonts w:ascii="Arial" w:hAnsi="Arial"/>
          <w:sz w:val="24"/>
        </w:rPr>
        <w:t xml:space="preserve">o </w:t>
      </w:r>
      <w:r w:rsidRPr="00EB2413">
        <w:rPr>
          <w:rFonts w:ascii="Arial" w:hAnsi="Arial"/>
          <w:sz w:val="24"/>
        </w:rPr>
        <w:t xml:space="preserve">que permitirá uma cooperação operativa </w:t>
      </w:r>
      <w:r w:rsidR="000C68D4" w:rsidRPr="00EB2413">
        <w:rPr>
          <w:rFonts w:ascii="Arial" w:hAnsi="Arial"/>
          <w:sz w:val="24"/>
        </w:rPr>
        <w:t xml:space="preserve">mais estreita </w:t>
      </w:r>
      <w:r w:rsidRPr="00EB2413">
        <w:rPr>
          <w:rFonts w:ascii="Arial" w:hAnsi="Arial"/>
          <w:sz w:val="24"/>
        </w:rPr>
        <w:t>entre as forças de segurança e as polícias nacionais, consolidando a luta contra o terrorismo, o narcotráfico e outras formas de criminalidade transnacional.</w:t>
      </w:r>
    </w:p>
    <w:p w14:paraId="6037B507" w14:textId="77777777" w:rsidR="00F42043" w:rsidRPr="00EB2413" w:rsidRDefault="00F42043" w:rsidP="00F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6"/>
          <w:szCs w:val="16"/>
          <w:highlight w:val="white"/>
        </w:rPr>
      </w:pPr>
    </w:p>
    <w:p w14:paraId="0C07BCC4" w14:textId="0175592C" w:rsidR="00133A87" w:rsidRPr="00EB2413" w:rsidRDefault="00F331D8" w:rsidP="0040637B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EB2413">
        <w:rPr>
          <w:rFonts w:ascii="Arial" w:hAnsi="Arial"/>
          <w:sz w:val="24"/>
          <w:highlight w:val="white"/>
        </w:rPr>
        <w:t>Atualização</w:t>
      </w:r>
      <w:r w:rsidR="00C75AD5" w:rsidRPr="00EB2413">
        <w:rPr>
          <w:rFonts w:ascii="Arial" w:hAnsi="Arial"/>
          <w:sz w:val="24"/>
          <w:highlight w:val="white"/>
        </w:rPr>
        <w:t xml:space="preserve"> do Acordo Executivo sobre Diretrizes em Matéria de </w:t>
      </w:r>
      <w:r w:rsidR="0034690E" w:rsidRPr="00EB2413">
        <w:rPr>
          <w:rFonts w:ascii="Arial" w:hAnsi="Arial"/>
          <w:sz w:val="24"/>
          <w:highlight w:val="white"/>
        </w:rPr>
        <w:t>Segurança para</w:t>
      </w:r>
      <w:r w:rsidR="00C75AD5" w:rsidRPr="00EB2413">
        <w:rPr>
          <w:rFonts w:ascii="Arial" w:hAnsi="Arial"/>
          <w:sz w:val="24"/>
          <w:highlight w:val="white"/>
        </w:rPr>
        <w:t xml:space="preserve"> Eventos Internacionais de Futebol</w:t>
      </w:r>
      <w:r w:rsidRPr="00EB2413">
        <w:rPr>
          <w:rFonts w:ascii="Arial" w:hAnsi="Arial"/>
          <w:sz w:val="24"/>
          <w:highlight w:val="white"/>
        </w:rPr>
        <w:t xml:space="preserve">, considerando a realização, entre outras, das Copas CONMEBOL Libertadores e Sul-americana, das eliminatórias da </w:t>
      </w:r>
      <w:r w:rsidRPr="00EB2413">
        <w:rPr>
          <w:rFonts w:ascii="Arial" w:hAnsi="Arial"/>
          <w:sz w:val="24"/>
        </w:rPr>
        <w:t>Copa</w:t>
      </w:r>
      <w:r w:rsidR="000C68D4" w:rsidRPr="00EB2413">
        <w:rPr>
          <w:rFonts w:ascii="Arial" w:hAnsi="Arial"/>
          <w:sz w:val="24"/>
        </w:rPr>
        <w:t xml:space="preserve"> do Mundo</w:t>
      </w:r>
      <w:r w:rsidRPr="00EB2413">
        <w:rPr>
          <w:rFonts w:ascii="Arial" w:hAnsi="Arial"/>
          <w:sz w:val="24"/>
        </w:rPr>
        <w:t xml:space="preserve"> FIFA 2026 </w:t>
      </w:r>
      <w:r w:rsidRPr="00EB2413">
        <w:rPr>
          <w:rFonts w:ascii="Arial" w:hAnsi="Arial"/>
          <w:sz w:val="24"/>
          <w:highlight w:val="white"/>
        </w:rPr>
        <w:t>e que três países da região serão sede da Copa FIFA 2030.</w:t>
      </w:r>
    </w:p>
    <w:p w14:paraId="1FE16F2A" w14:textId="77777777" w:rsidR="00133A87" w:rsidRPr="00EB2413" w:rsidRDefault="00133A87" w:rsidP="0040637B">
      <w:pPr>
        <w:pStyle w:val="Prrafodelista"/>
        <w:spacing w:after="0" w:line="240" w:lineRule="auto"/>
        <w:ind w:left="426" w:hanging="426"/>
        <w:rPr>
          <w:rFonts w:ascii="Arial" w:eastAsia="Arial" w:hAnsi="Arial" w:cs="Arial"/>
          <w:sz w:val="16"/>
          <w:szCs w:val="16"/>
          <w:highlight w:val="white"/>
        </w:rPr>
      </w:pPr>
    </w:p>
    <w:p w14:paraId="68A7D5F0" w14:textId="6A47F70C" w:rsidR="00F331D8" w:rsidRPr="00EB2413" w:rsidRDefault="00BA55DD" w:rsidP="0040637B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EB2413">
        <w:rPr>
          <w:rFonts w:ascii="Arial" w:hAnsi="Arial"/>
          <w:sz w:val="24"/>
          <w:highlight w:val="white"/>
        </w:rPr>
        <w:t>Ampliação dos mecanismos de monitoramento e funcionamento do Sistema de Intercâmbio de Informaç</w:t>
      </w:r>
      <w:r w:rsidR="00F13FBC" w:rsidRPr="00EB2413">
        <w:rPr>
          <w:rFonts w:ascii="Arial" w:hAnsi="Arial"/>
          <w:sz w:val="24"/>
          <w:highlight w:val="white"/>
        </w:rPr>
        <w:t>ões</w:t>
      </w:r>
      <w:r w:rsidRPr="00EB2413">
        <w:rPr>
          <w:rFonts w:ascii="Arial" w:hAnsi="Arial"/>
          <w:sz w:val="24"/>
          <w:highlight w:val="white"/>
        </w:rPr>
        <w:t xml:space="preserve"> de Segurança do MERCOSUL (SISME), para a oportuna inclusão, entre outros, de dados sobre antecedentes criminais graves, pessoas com restrições de ingresso a espetáculos esportivos e informação sobre armas de fogo e munições requeridas, confiscadas, roubadas ou perdidas.</w:t>
      </w:r>
    </w:p>
    <w:p w14:paraId="57A1FEA9" w14:textId="77777777" w:rsidR="00BA55DD" w:rsidRPr="00EB2413" w:rsidRDefault="00BA55DD" w:rsidP="0040637B">
      <w:pPr>
        <w:pStyle w:val="Prrafodelista"/>
        <w:spacing w:after="0" w:line="240" w:lineRule="auto"/>
        <w:ind w:left="426" w:hanging="426"/>
        <w:rPr>
          <w:rFonts w:ascii="Arial" w:eastAsia="Arial" w:hAnsi="Arial" w:cs="Arial"/>
          <w:sz w:val="16"/>
          <w:szCs w:val="16"/>
          <w:highlight w:val="white"/>
        </w:rPr>
      </w:pPr>
    </w:p>
    <w:p w14:paraId="10E92312" w14:textId="66BCC2DD" w:rsidR="00BA55DD" w:rsidRPr="00EB2413" w:rsidRDefault="00BA55DD" w:rsidP="0040637B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EB2413">
        <w:rPr>
          <w:rFonts w:ascii="Arial" w:hAnsi="Arial"/>
          <w:sz w:val="24"/>
        </w:rPr>
        <w:t xml:space="preserve">Impulso ao processo de ratificação, por todas as </w:t>
      </w:r>
      <w:r w:rsidR="005E4C16" w:rsidRPr="00EB2413">
        <w:rPr>
          <w:rFonts w:ascii="Arial" w:hAnsi="Arial"/>
          <w:sz w:val="24"/>
        </w:rPr>
        <w:t>Partes Signatárias</w:t>
      </w:r>
      <w:r w:rsidRPr="00EB2413">
        <w:rPr>
          <w:rFonts w:ascii="Arial" w:hAnsi="Arial"/>
          <w:sz w:val="24"/>
        </w:rPr>
        <w:t xml:space="preserve">, do Acordo Operativo para a Implementação de Mecanismos de Intercâmbio de </w:t>
      </w:r>
      <w:r w:rsidR="000C68D4" w:rsidRPr="00EB2413">
        <w:rPr>
          <w:rFonts w:ascii="Arial" w:hAnsi="Arial"/>
          <w:sz w:val="24"/>
        </w:rPr>
        <w:t>Inform</w:t>
      </w:r>
      <w:r w:rsidR="00B20AD7" w:rsidRPr="00EB2413">
        <w:rPr>
          <w:rFonts w:ascii="Arial" w:hAnsi="Arial"/>
          <w:sz w:val="24"/>
        </w:rPr>
        <w:t xml:space="preserve">ação </w:t>
      </w:r>
      <w:r w:rsidRPr="00EB2413">
        <w:rPr>
          <w:rFonts w:ascii="Arial" w:hAnsi="Arial"/>
          <w:sz w:val="24"/>
        </w:rPr>
        <w:t>Migratória entre os Estados Partes do MERCOSUL.</w:t>
      </w:r>
    </w:p>
    <w:p w14:paraId="360EC703" w14:textId="77777777" w:rsidR="00BA55DD" w:rsidRPr="00EB2413" w:rsidRDefault="00BA55DD" w:rsidP="0040637B">
      <w:pPr>
        <w:pStyle w:val="Prrafodelista"/>
        <w:spacing w:after="0" w:line="240" w:lineRule="auto"/>
        <w:ind w:left="426" w:hanging="426"/>
        <w:rPr>
          <w:rFonts w:ascii="Arial" w:eastAsia="Arial" w:hAnsi="Arial" w:cs="Arial"/>
          <w:sz w:val="16"/>
          <w:szCs w:val="16"/>
          <w:highlight w:val="white"/>
        </w:rPr>
      </w:pPr>
    </w:p>
    <w:p w14:paraId="54A5F33D" w14:textId="2336CE10" w:rsidR="00E352E2" w:rsidRPr="00EB2413" w:rsidRDefault="00E352E2" w:rsidP="0040637B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EB2413">
        <w:rPr>
          <w:rFonts w:ascii="Arial" w:hAnsi="Arial"/>
          <w:sz w:val="24"/>
          <w:highlight w:val="white"/>
        </w:rPr>
        <w:t xml:space="preserve">Fortalecimento dos controles de segurança estabelecidos entre os Estados Partes do MERCOSUL e Estados Associados, em particular mediante o intercâmbio de </w:t>
      </w:r>
      <w:r w:rsidR="005F0142" w:rsidRPr="00EB2413">
        <w:rPr>
          <w:rFonts w:ascii="Arial" w:hAnsi="Arial"/>
          <w:sz w:val="24"/>
        </w:rPr>
        <w:t>informação,</w:t>
      </w:r>
      <w:r w:rsidR="005F0142" w:rsidRPr="00EB2413">
        <w:rPr>
          <w:rFonts w:ascii="Arial" w:hAnsi="Arial"/>
          <w:sz w:val="24"/>
          <w:highlight w:val="white"/>
        </w:rPr>
        <w:t xml:space="preserve"> inteligência</w:t>
      </w:r>
      <w:r w:rsidRPr="00EB2413">
        <w:rPr>
          <w:rFonts w:ascii="Arial" w:hAnsi="Arial"/>
          <w:sz w:val="24"/>
          <w:highlight w:val="white"/>
        </w:rPr>
        <w:t xml:space="preserve"> policial e boas práticas entre as Forças de Segurança.   </w:t>
      </w:r>
    </w:p>
    <w:p w14:paraId="599098CF" w14:textId="77777777" w:rsidR="00826D13" w:rsidRPr="00EB2413" w:rsidRDefault="00826D13" w:rsidP="0040637B">
      <w:pPr>
        <w:pStyle w:val="Prrafodelista"/>
        <w:spacing w:after="0" w:line="240" w:lineRule="auto"/>
        <w:ind w:left="426" w:hanging="426"/>
        <w:rPr>
          <w:rFonts w:ascii="Arial" w:eastAsia="Arial" w:hAnsi="Arial" w:cs="Arial"/>
          <w:sz w:val="16"/>
          <w:szCs w:val="16"/>
          <w:highlight w:val="white"/>
        </w:rPr>
      </w:pPr>
    </w:p>
    <w:p w14:paraId="45E6783E" w14:textId="4617260A" w:rsidR="00FE29C0" w:rsidRPr="00EB2413" w:rsidRDefault="00826D13" w:rsidP="0040637B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EB2413">
        <w:rPr>
          <w:rFonts w:ascii="Arial" w:hAnsi="Arial"/>
          <w:sz w:val="24"/>
          <w:highlight w:val="white"/>
        </w:rPr>
        <w:t>Implementação e cooperação, por parte das instituições de Defe</w:t>
      </w:r>
      <w:r w:rsidR="000C68D4" w:rsidRPr="00EB2413">
        <w:rPr>
          <w:rFonts w:ascii="Arial" w:hAnsi="Arial"/>
          <w:sz w:val="24"/>
          <w:highlight w:val="white"/>
        </w:rPr>
        <w:t>n</w:t>
      </w:r>
      <w:r w:rsidRPr="00EB2413">
        <w:rPr>
          <w:rFonts w:ascii="Arial" w:hAnsi="Arial"/>
          <w:sz w:val="24"/>
          <w:highlight w:val="white"/>
        </w:rPr>
        <w:t>s</w:t>
      </w:r>
      <w:r w:rsidR="000C68D4" w:rsidRPr="00EB2413">
        <w:rPr>
          <w:rFonts w:ascii="Arial" w:hAnsi="Arial"/>
          <w:sz w:val="24"/>
          <w:highlight w:val="white"/>
        </w:rPr>
        <w:t>ori</w:t>
      </w:r>
      <w:r w:rsidRPr="00EB2413">
        <w:rPr>
          <w:rFonts w:ascii="Arial" w:hAnsi="Arial"/>
          <w:sz w:val="24"/>
          <w:highlight w:val="white"/>
        </w:rPr>
        <w:t>a Pública, no desenvolvimento de processos de desburocratização de trâmites, simplificação administrativa e uso de ferramentas tecnológicas que permitam um acesso real e efetivo à justiça.</w:t>
      </w:r>
    </w:p>
    <w:p w14:paraId="5F572A82" w14:textId="77777777" w:rsidR="00826D13" w:rsidRPr="00EB2413" w:rsidRDefault="00826D13" w:rsidP="0040637B">
      <w:pPr>
        <w:pStyle w:val="Prrafodelista"/>
        <w:spacing w:after="0" w:line="240" w:lineRule="auto"/>
        <w:ind w:left="426" w:hanging="426"/>
        <w:rPr>
          <w:rFonts w:ascii="Arial" w:eastAsia="Arial" w:hAnsi="Arial" w:cs="Arial"/>
          <w:sz w:val="16"/>
          <w:szCs w:val="16"/>
          <w:highlight w:val="white"/>
        </w:rPr>
      </w:pPr>
    </w:p>
    <w:p w14:paraId="53CF3269" w14:textId="02338907" w:rsidR="00DA5EF9" w:rsidRPr="00EB2413" w:rsidRDefault="00CB2E20" w:rsidP="0040637B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EB2413">
        <w:rPr>
          <w:rFonts w:ascii="Arial" w:hAnsi="Arial"/>
          <w:sz w:val="24"/>
        </w:rPr>
        <w:t>Gestão integral de risco de desastres e intercâmbio de experiências e boas práticas em matéria de logística; definição de ações para pôr em prática o Manual de Atuação para Resposta a Desastres e Assistência Humanitária do MERCOSUL, por meio de um protocolo operativo.</w:t>
      </w:r>
    </w:p>
    <w:p w14:paraId="4F15D54B" w14:textId="77777777" w:rsidR="00DA5EF9" w:rsidRPr="00EB2413" w:rsidRDefault="00DA5EF9" w:rsidP="0040637B">
      <w:pPr>
        <w:pStyle w:val="Prrafodelista"/>
        <w:spacing w:after="0" w:line="240" w:lineRule="auto"/>
        <w:ind w:left="426" w:hanging="426"/>
        <w:rPr>
          <w:rFonts w:ascii="Arial" w:eastAsia="Arial" w:hAnsi="Arial" w:cs="Arial"/>
          <w:sz w:val="16"/>
          <w:szCs w:val="16"/>
          <w:highlight w:val="white"/>
        </w:rPr>
      </w:pPr>
    </w:p>
    <w:p w14:paraId="3B5B9760" w14:textId="4D6E5201" w:rsidR="004C03FE" w:rsidRPr="00EB2413" w:rsidRDefault="00076957" w:rsidP="0040637B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EB2413">
        <w:rPr>
          <w:rFonts w:ascii="Arial" w:hAnsi="Arial"/>
          <w:sz w:val="24"/>
          <w:highlight w:val="white"/>
        </w:rPr>
        <w:t xml:space="preserve">Implementação de políticas públicas sustentáveis em matéria de alfabetização em todos os níveis educativos, no âmbito do Setor Educacional do MERCOSUL. Articulação de políticas focalizadas na </w:t>
      </w:r>
      <w:r w:rsidR="00D0149D" w:rsidRPr="00EB2413">
        <w:rPr>
          <w:rFonts w:ascii="Arial" w:hAnsi="Arial"/>
          <w:sz w:val="24"/>
          <w:highlight w:val="white"/>
        </w:rPr>
        <w:t xml:space="preserve">redução </w:t>
      </w:r>
      <w:r w:rsidRPr="00EB2413">
        <w:rPr>
          <w:rFonts w:ascii="Arial" w:hAnsi="Arial"/>
          <w:sz w:val="24"/>
          <w:highlight w:val="white"/>
        </w:rPr>
        <w:t xml:space="preserve">de lacunas na alfabetização nos primeiros anos de escolaridade. Atualização do Sistema de Acreditação Regional de Cursos Universitários do MERCOSUL (ARCU-SUR) para a educação superior.  </w:t>
      </w:r>
    </w:p>
    <w:p w14:paraId="235ACE8B" w14:textId="77777777" w:rsidR="004C03FE" w:rsidRPr="00EB2413" w:rsidRDefault="004C03FE" w:rsidP="004C03FE">
      <w:pPr>
        <w:spacing w:after="0" w:line="240" w:lineRule="auto"/>
        <w:rPr>
          <w:rFonts w:ascii="Arial" w:eastAsia="Arial" w:hAnsi="Arial" w:cs="Arial"/>
          <w:sz w:val="16"/>
          <w:szCs w:val="16"/>
          <w:highlight w:val="white"/>
        </w:rPr>
      </w:pPr>
    </w:p>
    <w:p w14:paraId="76AAE690" w14:textId="2B324CF4" w:rsidR="00601767" w:rsidRPr="00EB2413" w:rsidRDefault="00573B3D" w:rsidP="0040637B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413">
        <w:rPr>
          <w:rFonts w:ascii="Arial" w:hAnsi="Arial"/>
          <w:sz w:val="24"/>
        </w:rPr>
        <w:t xml:space="preserve">Promoção da diversidade das expressões culturais, proteção e recuperação de bens culturais e fortalecimento dos sistemas de informação do MERCOSUL Cultural. Ampliação e diversificação das fontes de financiamento para a cultura. Colaboração entre os setores público e privado, com o objetivo de criar marcos que facilitem o investimento, incentivem a inovação e assegurem a sustentabilidade a longo prazo dos projetos culturais. Debate sobre </w:t>
      </w:r>
      <w:r w:rsidR="006824B3" w:rsidRPr="00EB2413">
        <w:rPr>
          <w:rFonts w:ascii="Arial" w:hAnsi="Arial"/>
          <w:sz w:val="24"/>
        </w:rPr>
        <w:t xml:space="preserve">os desafios e </w:t>
      </w:r>
      <w:r w:rsidRPr="00EB2413">
        <w:rPr>
          <w:rFonts w:ascii="Arial" w:hAnsi="Arial"/>
          <w:sz w:val="24"/>
        </w:rPr>
        <w:t xml:space="preserve">as oportunidades da inteligência artificial para a criação, circulação e preservação de conteúdos culturais. </w:t>
      </w:r>
    </w:p>
    <w:p w14:paraId="155C27D6" w14:textId="77777777" w:rsidR="00601767" w:rsidRPr="00EB2413" w:rsidRDefault="00601767" w:rsidP="00B563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50E5E944" w14:textId="16C15890" w:rsidR="00C876F8" w:rsidRPr="00EB2413" w:rsidRDefault="00C876F8" w:rsidP="004063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2413">
        <w:rPr>
          <w:rFonts w:ascii="Arial" w:hAnsi="Arial"/>
          <w:b/>
          <w:sz w:val="24"/>
        </w:rPr>
        <w:lastRenderedPageBreak/>
        <w:t>AFIRMARAM</w:t>
      </w:r>
      <w:r w:rsidRPr="00EB2413">
        <w:rPr>
          <w:rFonts w:ascii="Arial" w:hAnsi="Arial"/>
          <w:sz w:val="24"/>
        </w:rPr>
        <w:t xml:space="preserve"> sua convicção comum de que é oportuno e adequado que uma pessoa nacional de um estado da América Latina e do Caribe ocupe a </w:t>
      </w:r>
      <w:proofErr w:type="spellStart"/>
      <w:r w:rsidRPr="00EB2413">
        <w:rPr>
          <w:rFonts w:ascii="Arial" w:hAnsi="Arial"/>
          <w:sz w:val="24"/>
        </w:rPr>
        <w:t>Secretaria-Geral</w:t>
      </w:r>
      <w:proofErr w:type="spellEnd"/>
      <w:r w:rsidRPr="00EB2413">
        <w:rPr>
          <w:rFonts w:ascii="Arial" w:hAnsi="Arial"/>
          <w:sz w:val="24"/>
        </w:rPr>
        <w:t xml:space="preserve"> das Nações Unidas, considerando que</w:t>
      </w:r>
      <w:r w:rsidR="006824B3" w:rsidRPr="00EB2413">
        <w:rPr>
          <w:rFonts w:ascii="Arial" w:hAnsi="Arial"/>
          <w:sz w:val="24"/>
        </w:rPr>
        <w:t>,</w:t>
      </w:r>
      <w:r w:rsidRPr="00EB2413">
        <w:rPr>
          <w:rFonts w:ascii="Arial" w:hAnsi="Arial"/>
          <w:sz w:val="24"/>
        </w:rPr>
        <w:t xml:space="preserve"> dos nove Secretários-Gerais que a ONU teve até o momento, apenas um era oriundo de um estado da região.</w:t>
      </w:r>
    </w:p>
    <w:p w14:paraId="551529A2" w14:textId="77777777" w:rsidR="00C876F8" w:rsidRPr="00EB2413" w:rsidRDefault="00C876F8" w:rsidP="0040637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BDB8E73" w14:textId="45314CC0" w:rsidR="009C277D" w:rsidRPr="00EB2413" w:rsidRDefault="006949C3" w:rsidP="004063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B2413">
        <w:rPr>
          <w:rFonts w:ascii="Arial" w:hAnsi="Arial"/>
          <w:b/>
          <w:sz w:val="24"/>
        </w:rPr>
        <w:t>EXPRESSARAM</w:t>
      </w:r>
      <w:r w:rsidRPr="00EB2413">
        <w:rPr>
          <w:rFonts w:ascii="Arial" w:hAnsi="Arial"/>
          <w:sz w:val="24"/>
        </w:rPr>
        <w:t xml:space="preserve"> seu reconhecimento ao trabalho e ao esforço realizado pela República Argentina no exercício da Presidência </w:t>
      </w:r>
      <w:r w:rsidRPr="00EB2413">
        <w:rPr>
          <w:rFonts w:ascii="Arial" w:hAnsi="Arial"/>
          <w:i/>
          <w:iCs/>
          <w:sz w:val="24"/>
        </w:rPr>
        <w:t>Pro Tempore</w:t>
      </w:r>
      <w:r w:rsidRPr="00EB2413">
        <w:rPr>
          <w:rFonts w:ascii="Arial" w:hAnsi="Arial"/>
          <w:sz w:val="24"/>
        </w:rPr>
        <w:t xml:space="preserve"> e agradeceram ao governo e ao povo argentino pela organização da LXVI Cúpula de Presidentes do MERCOSUL.</w:t>
      </w:r>
    </w:p>
    <w:p w14:paraId="70ACD9CA" w14:textId="77777777" w:rsidR="00F963F1" w:rsidRPr="00EB2413" w:rsidRDefault="00F963F1" w:rsidP="0040637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B12A2ED" w14:textId="7018AC0A" w:rsidR="00601767" w:rsidRPr="00EB2413" w:rsidRDefault="006949C3" w:rsidP="004063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B2413">
        <w:rPr>
          <w:rFonts w:ascii="Arial" w:hAnsi="Arial"/>
          <w:b/>
          <w:sz w:val="24"/>
        </w:rPr>
        <w:t xml:space="preserve">SAUDARAM </w:t>
      </w:r>
      <w:r w:rsidRPr="00EB2413">
        <w:rPr>
          <w:rFonts w:ascii="Arial" w:hAnsi="Arial"/>
          <w:sz w:val="24"/>
        </w:rPr>
        <w:t xml:space="preserve">o início da Presidência </w:t>
      </w:r>
      <w:r w:rsidRPr="00EB2413">
        <w:rPr>
          <w:rFonts w:ascii="Arial" w:hAnsi="Arial"/>
          <w:i/>
          <w:iCs/>
          <w:sz w:val="24"/>
        </w:rPr>
        <w:t>Pro Tempore</w:t>
      </w:r>
      <w:r w:rsidRPr="00EB2413">
        <w:rPr>
          <w:rFonts w:ascii="Arial" w:hAnsi="Arial"/>
          <w:sz w:val="24"/>
        </w:rPr>
        <w:t xml:space="preserve"> da República Federativa do Brasil e desejaram </w:t>
      </w:r>
      <w:r w:rsidR="0034045E" w:rsidRPr="00EB2413">
        <w:rPr>
          <w:rFonts w:ascii="Arial" w:hAnsi="Arial"/>
          <w:sz w:val="24"/>
        </w:rPr>
        <w:t>êxito</w:t>
      </w:r>
      <w:r w:rsidRPr="00EB2413">
        <w:rPr>
          <w:rFonts w:ascii="Arial" w:hAnsi="Arial"/>
          <w:sz w:val="24"/>
        </w:rPr>
        <w:t xml:space="preserve"> </w:t>
      </w:r>
      <w:r w:rsidR="0034045E" w:rsidRPr="00EB2413">
        <w:rPr>
          <w:rFonts w:ascii="Arial" w:hAnsi="Arial"/>
          <w:sz w:val="24"/>
        </w:rPr>
        <w:t xml:space="preserve">no </w:t>
      </w:r>
      <w:r w:rsidRPr="00EB2413">
        <w:rPr>
          <w:rFonts w:ascii="Arial" w:hAnsi="Arial"/>
          <w:sz w:val="24"/>
        </w:rPr>
        <w:t xml:space="preserve">desempenho de suas funções. </w:t>
      </w:r>
    </w:p>
    <w:sectPr w:rsidR="00601767" w:rsidRPr="00EB2413" w:rsidSect="00D02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1134" w:bottom="340" w:left="1134" w:header="709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26A7" w14:textId="77777777" w:rsidR="002F6DEF" w:rsidRDefault="002F6DEF">
      <w:pPr>
        <w:spacing w:after="0" w:line="240" w:lineRule="auto"/>
      </w:pPr>
      <w:r>
        <w:separator/>
      </w:r>
    </w:p>
  </w:endnote>
  <w:endnote w:type="continuationSeparator" w:id="0">
    <w:p w14:paraId="637BA841" w14:textId="77777777" w:rsidR="002F6DEF" w:rsidRDefault="002F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E3BF2" w14:textId="77777777" w:rsidR="00FE29C0" w:rsidRDefault="00FE29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A638" w14:textId="77777777" w:rsidR="00601767" w:rsidRDefault="006017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88" w:lineRule="auto"/>
      <w:rPr>
        <w:color w:val="000000"/>
        <w:sz w:val="21"/>
        <w:szCs w:val="21"/>
      </w:rPr>
    </w:pPr>
  </w:p>
  <w:p w14:paraId="72B3661E" w14:textId="77777777" w:rsidR="00601767" w:rsidRDefault="006017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BCE9B" w14:textId="77777777" w:rsidR="00FE29C0" w:rsidRDefault="00FE29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F9235" w14:textId="77777777" w:rsidR="002F6DEF" w:rsidRDefault="002F6DEF">
      <w:pPr>
        <w:spacing w:after="0" w:line="240" w:lineRule="auto"/>
      </w:pPr>
      <w:r>
        <w:separator/>
      </w:r>
    </w:p>
  </w:footnote>
  <w:footnote w:type="continuationSeparator" w:id="0">
    <w:p w14:paraId="4E449ECA" w14:textId="77777777" w:rsidR="002F6DEF" w:rsidRDefault="002F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8D49" w14:textId="77777777" w:rsidR="00601767" w:rsidRDefault="00EB2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88" w:lineRule="auto"/>
      <w:rPr>
        <w:color w:val="000000"/>
        <w:sz w:val="21"/>
        <w:szCs w:val="21"/>
      </w:rPr>
    </w:pPr>
    <w:r>
      <w:rPr>
        <w:color w:val="000000"/>
        <w:sz w:val="21"/>
      </w:rPr>
      <w:pict w14:anchorId="6A2D5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45pt;height:841.7pt;z-index:-25165516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  <w:p w14:paraId="4F112740" w14:textId="77777777" w:rsidR="00601767" w:rsidRDefault="00601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3DBD" w14:textId="77777777" w:rsidR="00601767" w:rsidRDefault="00EB2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88" w:lineRule="auto"/>
      <w:rPr>
        <w:color w:val="000000"/>
        <w:sz w:val="21"/>
        <w:szCs w:val="21"/>
      </w:rPr>
    </w:pPr>
    <w:r>
      <w:rPr>
        <w:color w:val="000000"/>
        <w:sz w:val="21"/>
      </w:rPr>
      <w:pict w14:anchorId="4A7C06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-56.8pt;margin-top:-78pt;width:595.45pt;height:841.7pt;z-index:-251657216;mso-wrap-edited:f;mso-width-percent:0;mso-height-percent:0;mso-position-horizontal-relative:margin;mso-position-vertical-relative:margin;mso-width-percent:0;mso-height-percent:0">
          <v:imagedata r:id="rId1" o:title="image1"/>
          <w10:wrap anchorx="margin" anchory="margin"/>
        </v:shape>
      </w:pict>
    </w:r>
  </w:p>
  <w:p w14:paraId="6CC03D85" w14:textId="77777777" w:rsidR="00601767" w:rsidRDefault="006017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3052" w14:textId="77777777" w:rsidR="00601767" w:rsidRDefault="00EB2413" w:rsidP="00F657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88" w:lineRule="auto"/>
      <w:rPr>
        <w:color w:val="000000"/>
        <w:sz w:val="21"/>
        <w:szCs w:val="21"/>
      </w:rPr>
    </w:pPr>
    <w:r>
      <w:rPr>
        <w:color w:val="000000"/>
        <w:sz w:val="21"/>
      </w:rPr>
      <w:pict w14:anchorId="5F7B3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7pt;z-index:-25165619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13E48"/>
    <w:multiLevelType w:val="hybridMultilevel"/>
    <w:tmpl w:val="3C4C8B66"/>
    <w:lvl w:ilvl="0" w:tplc="514C5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B0E03"/>
    <w:multiLevelType w:val="hybridMultilevel"/>
    <w:tmpl w:val="A0B4AA52"/>
    <w:lvl w:ilvl="0" w:tplc="3154DF78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92D51"/>
    <w:multiLevelType w:val="hybridMultilevel"/>
    <w:tmpl w:val="1526D9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233718">
    <w:abstractNumId w:val="1"/>
  </w:num>
  <w:num w:numId="2" w16cid:durableId="1339576083">
    <w:abstractNumId w:val="2"/>
  </w:num>
  <w:num w:numId="3" w16cid:durableId="196800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67"/>
    <w:rsid w:val="000040C9"/>
    <w:rsid w:val="0001462F"/>
    <w:rsid w:val="00017F8C"/>
    <w:rsid w:val="0004594C"/>
    <w:rsid w:val="000573EF"/>
    <w:rsid w:val="00057604"/>
    <w:rsid w:val="00065777"/>
    <w:rsid w:val="00070F52"/>
    <w:rsid w:val="0007333C"/>
    <w:rsid w:val="00073F38"/>
    <w:rsid w:val="00076957"/>
    <w:rsid w:val="00085BF2"/>
    <w:rsid w:val="00093F45"/>
    <w:rsid w:val="00097BE4"/>
    <w:rsid w:val="000C0D5F"/>
    <w:rsid w:val="000C68D4"/>
    <w:rsid w:val="000C6E90"/>
    <w:rsid w:val="000E64EE"/>
    <w:rsid w:val="00100F29"/>
    <w:rsid w:val="001107CE"/>
    <w:rsid w:val="00133A87"/>
    <w:rsid w:val="00134947"/>
    <w:rsid w:val="001638C6"/>
    <w:rsid w:val="00171152"/>
    <w:rsid w:val="00175134"/>
    <w:rsid w:val="00177C01"/>
    <w:rsid w:val="00184545"/>
    <w:rsid w:val="00191973"/>
    <w:rsid w:val="001920D2"/>
    <w:rsid w:val="001A4000"/>
    <w:rsid w:val="001A65ED"/>
    <w:rsid w:val="001A7EF0"/>
    <w:rsid w:val="001C1BE2"/>
    <w:rsid w:val="001E7E27"/>
    <w:rsid w:val="00210BBE"/>
    <w:rsid w:val="00216582"/>
    <w:rsid w:val="002448ED"/>
    <w:rsid w:val="00252C5F"/>
    <w:rsid w:val="00255CD8"/>
    <w:rsid w:val="0025783D"/>
    <w:rsid w:val="0027679A"/>
    <w:rsid w:val="002B3C97"/>
    <w:rsid w:val="002D5C35"/>
    <w:rsid w:val="002E2664"/>
    <w:rsid w:val="002E5840"/>
    <w:rsid w:val="002E76CA"/>
    <w:rsid w:val="002F50FA"/>
    <w:rsid w:val="002F6DEF"/>
    <w:rsid w:val="002F731C"/>
    <w:rsid w:val="00315A27"/>
    <w:rsid w:val="00325E32"/>
    <w:rsid w:val="00336B51"/>
    <w:rsid w:val="0034045E"/>
    <w:rsid w:val="003463B4"/>
    <w:rsid w:val="0034690E"/>
    <w:rsid w:val="00356807"/>
    <w:rsid w:val="00357D81"/>
    <w:rsid w:val="00373961"/>
    <w:rsid w:val="00397AED"/>
    <w:rsid w:val="003A0040"/>
    <w:rsid w:val="003A42D0"/>
    <w:rsid w:val="003A45C0"/>
    <w:rsid w:val="003A715A"/>
    <w:rsid w:val="003C4CE7"/>
    <w:rsid w:val="003D3837"/>
    <w:rsid w:val="003D65EC"/>
    <w:rsid w:val="003F7BF6"/>
    <w:rsid w:val="0040637B"/>
    <w:rsid w:val="004217F8"/>
    <w:rsid w:val="00425C51"/>
    <w:rsid w:val="00426480"/>
    <w:rsid w:val="00456114"/>
    <w:rsid w:val="00461111"/>
    <w:rsid w:val="00465470"/>
    <w:rsid w:val="00475694"/>
    <w:rsid w:val="004C03FE"/>
    <w:rsid w:val="0050056F"/>
    <w:rsid w:val="005077B9"/>
    <w:rsid w:val="005306DE"/>
    <w:rsid w:val="005311AD"/>
    <w:rsid w:val="005336C6"/>
    <w:rsid w:val="00545D05"/>
    <w:rsid w:val="00573B3D"/>
    <w:rsid w:val="005B0D35"/>
    <w:rsid w:val="005C29F5"/>
    <w:rsid w:val="005C5163"/>
    <w:rsid w:val="005D5CF0"/>
    <w:rsid w:val="005D62F4"/>
    <w:rsid w:val="005E4C16"/>
    <w:rsid w:val="005F0142"/>
    <w:rsid w:val="005F0436"/>
    <w:rsid w:val="00601767"/>
    <w:rsid w:val="0061371A"/>
    <w:rsid w:val="0061686F"/>
    <w:rsid w:val="00682148"/>
    <w:rsid w:val="006824B3"/>
    <w:rsid w:val="006949C3"/>
    <w:rsid w:val="006A3BA1"/>
    <w:rsid w:val="006E1E3C"/>
    <w:rsid w:val="006F69B8"/>
    <w:rsid w:val="00705249"/>
    <w:rsid w:val="00732ECE"/>
    <w:rsid w:val="00737248"/>
    <w:rsid w:val="0074085C"/>
    <w:rsid w:val="0075535E"/>
    <w:rsid w:val="00780D0A"/>
    <w:rsid w:val="00781C02"/>
    <w:rsid w:val="00790F4F"/>
    <w:rsid w:val="007B0321"/>
    <w:rsid w:val="007B6CDF"/>
    <w:rsid w:val="00814080"/>
    <w:rsid w:val="00817619"/>
    <w:rsid w:val="00826BF0"/>
    <w:rsid w:val="00826D13"/>
    <w:rsid w:val="0082758D"/>
    <w:rsid w:val="00846ECD"/>
    <w:rsid w:val="00890F91"/>
    <w:rsid w:val="008C1AEC"/>
    <w:rsid w:val="008D42FF"/>
    <w:rsid w:val="008D7744"/>
    <w:rsid w:val="008E0118"/>
    <w:rsid w:val="008E0197"/>
    <w:rsid w:val="009040A2"/>
    <w:rsid w:val="00914D5E"/>
    <w:rsid w:val="00927FD0"/>
    <w:rsid w:val="00933948"/>
    <w:rsid w:val="00936223"/>
    <w:rsid w:val="009465A3"/>
    <w:rsid w:val="00951858"/>
    <w:rsid w:val="00956294"/>
    <w:rsid w:val="0097660D"/>
    <w:rsid w:val="00992D0B"/>
    <w:rsid w:val="00994136"/>
    <w:rsid w:val="00997ECD"/>
    <w:rsid w:val="009A2C71"/>
    <w:rsid w:val="009A5A20"/>
    <w:rsid w:val="009B2200"/>
    <w:rsid w:val="009B317A"/>
    <w:rsid w:val="009C277D"/>
    <w:rsid w:val="009C41A9"/>
    <w:rsid w:val="009D1D84"/>
    <w:rsid w:val="009F49CB"/>
    <w:rsid w:val="00A02623"/>
    <w:rsid w:val="00A07FD8"/>
    <w:rsid w:val="00A47E83"/>
    <w:rsid w:val="00A63A61"/>
    <w:rsid w:val="00A65499"/>
    <w:rsid w:val="00A72DA6"/>
    <w:rsid w:val="00A7399D"/>
    <w:rsid w:val="00A74B6E"/>
    <w:rsid w:val="00A76174"/>
    <w:rsid w:val="00A84CEB"/>
    <w:rsid w:val="00AA50A3"/>
    <w:rsid w:val="00AA5875"/>
    <w:rsid w:val="00AB1335"/>
    <w:rsid w:val="00AC32C2"/>
    <w:rsid w:val="00AC4924"/>
    <w:rsid w:val="00AD028D"/>
    <w:rsid w:val="00AD5084"/>
    <w:rsid w:val="00AF0CA5"/>
    <w:rsid w:val="00AF53C9"/>
    <w:rsid w:val="00AF6562"/>
    <w:rsid w:val="00B20AD7"/>
    <w:rsid w:val="00B2574D"/>
    <w:rsid w:val="00B25851"/>
    <w:rsid w:val="00B362A6"/>
    <w:rsid w:val="00B51CB1"/>
    <w:rsid w:val="00B5632B"/>
    <w:rsid w:val="00BA4D3C"/>
    <w:rsid w:val="00BA55DD"/>
    <w:rsid w:val="00BB5081"/>
    <w:rsid w:val="00BC0E81"/>
    <w:rsid w:val="00BC5465"/>
    <w:rsid w:val="00BD6B7D"/>
    <w:rsid w:val="00C14DB0"/>
    <w:rsid w:val="00C25B58"/>
    <w:rsid w:val="00C262B0"/>
    <w:rsid w:val="00C34C6F"/>
    <w:rsid w:val="00C43DD7"/>
    <w:rsid w:val="00C51613"/>
    <w:rsid w:val="00C74EAE"/>
    <w:rsid w:val="00C75AD5"/>
    <w:rsid w:val="00C876F8"/>
    <w:rsid w:val="00C93F2B"/>
    <w:rsid w:val="00CA37DA"/>
    <w:rsid w:val="00CB0E8E"/>
    <w:rsid w:val="00CB2E20"/>
    <w:rsid w:val="00CD082C"/>
    <w:rsid w:val="00CE2784"/>
    <w:rsid w:val="00CF26B3"/>
    <w:rsid w:val="00D012A6"/>
    <w:rsid w:val="00D0149D"/>
    <w:rsid w:val="00D02F6D"/>
    <w:rsid w:val="00D120F6"/>
    <w:rsid w:val="00D12170"/>
    <w:rsid w:val="00D26786"/>
    <w:rsid w:val="00D4504A"/>
    <w:rsid w:val="00D45279"/>
    <w:rsid w:val="00D62E4C"/>
    <w:rsid w:val="00D80F6C"/>
    <w:rsid w:val="00D813D7"/>
    <w:rsid w:val="00D92F78"/>
    <w:rsid w:val="00DA5EF9"/>
    <w:rsid w:val="00DB53B6"/>
    <w:rsid w:val="00DB737F"/>
    <w:rsid w:val="00DE5B3E"/>
    <w:rsid w:val="00DE5D09"/>
    <w:rsid w:val="00E01F9A"/>
    <w:rsid w:val="00E200E0"/>
    <w:rsid w:val="00E352E2"/>
    <w:rsid w:val="00E36A8C"/>
    <w:rsid w:val="00E44EB2"/>
    <w:rsid w:val="00E55C14"/>
    <w:rsid w:val="00E65699"/>
    <w:rsid w:val="00E854F4"/>
    <w:rsid w:val="00E96C57"/>
    <w:rsid w:val="00EB088E"/>
    <w:rsid w:val="00EB2413"/>
    <w:rsid w:val="00EB3E0C"/>
    <w:rsid w:val="00ED4CCD"/>
    <w:rsid w:val="00EE1662"/>
    <w:rsid w:val="00EE401B"/>
    <w:rsid w:val="00EF108E"/>
    <w:rsid w:val="00F13EF0"/>
    <w:rsid w:val="00F13FBC"/>
    <w:rsid w:val="00F148F0"/>
    <w:rsid w:val="00F331D8"/>
    <w:rsid w:val="00F42043"/>
    <w:rsid w:val="00F57D71"/>
    <w:rsid w:val="00F6574A"/>
    <w:rsid w:val="00F87960"/>
    <w:rsid w:val="00F963F1"/>
    <w:rsid w:val="00FA31C1"/>
    <w:rsid w:val="00FA32C5"/>
    <w:rsid w:val="00FA630B"/>
    <w:rsid w:val="00FB39C9"/>
    <w:rsid w:val="00FC1818"/>
    <w:rsid w:val="00FC6F4A"/>
    <w:rsid w:val="00FE29C0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37105"/>
  <w15:docId w15:val="{4ACF581A-D5A5-4488-A42D-7CBE0C5A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 w:val="0"/>
      <w:spacing w:after="0" w:line="240" w:lineRule="auto"/>
      <w:ind w:left="1042"/>
      <w:jc w:val="center"/>
      <w:outlineLvl w:val="0"/>
    </w:pPr>
    <w:rPr>
      <w:rFonts w:ascii="Cambria" w:eastAsia="Cambria" w:hAnsi="Cambria" w:cs="Cambria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B032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65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74A"/>
  </w:style>
  <w:style w:type="paragraph" w:styleId="Textodeglobo">
    <w:name w:val="Balloon Text"/>
    <w:basedOn w:val="Normal"/>
    <w:link w:val="TextodegloboCar"/>
    <w:uiPriority w:val="99"/>
    <w:semiHidden/>
    <w:unhideWhenUsed/>
    <w:rsid w:val="00133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A87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57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574D"/>
    <w:rPr>
      <w:rFonts w:ascii="Consolas" w:hAnsi="Consolas"/>
      <w:sz w:val="20"/>
      <w:szCs w:val="20"/>
    </w:rPr>
  </w:style>
  <w:style w:type="paragraph" w:styleId="Revisin">
    <w:name w:val="Revision"/>
    <w:hidden/>
    <w:uiPriority w:val="99"/>
    <w:semiHidden/>
    <w:rsid w:val="00425C5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711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711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11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1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1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898A-5707-4EA2-BCDD-4B161AF9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1081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Valeria Alejandra Alvarez</cp:lastModifiedBy>
  <cp:revision>4</cp:revision>
  <cp:lastPrinted>2025-05-22T13:07:00Z</cp:lastPrinted>
  <dcterms:created xsi:type="dcterms:W3CDTF">2025-07-03T02:27:00Z</dcterms:created>
  <dcterms:modified xsi:type="dcterms:W3CDTF">2025-07-03T02:29:00Z</dcterms:modified>
</cp:coreProperties>
</file>